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7"/>
        <w:gridCol w:w="7229"/>
      </w:tblGrid>
      <w:tr w:rsidR="00F572F7" w14:paraId="243BF9BA" w14:textId="77777777" w:rsidTr="003E664E">
        <w:trPr>
          <w:trHeight w:val="719"/>
        </w:trPr>
        <w:tc>
          <w:tcPr>
            <w:tcW w:w="2357" w:type="dxa"/>
            <w:tcBorders>
              <w:top w:val="single" w:sz="4" w:space="0" w:color="000000"/>
              <w:left w:val="single" w:sz="4" w:space="0" w:color="000000"/>
              <w:bottom w:val="single" w:sz="4" w:space="0" w:color="000000"/>
              <w:right w:val="single" w:sz="4" w:space="0" w:color="000000"/>
            </w:tcBorders>
            <w:vAlign w:val="center"/>
          </w:tcPr>
          <w:p w14:paraId="2EE80437" w14:textId="77777777" w:rsidR="00F572F7" w:rsidRPr="00F572F7" w:rsidRDefault="00F572F7" w:rsidP="00EC561B">
            <w:pPr>
              <w:suppressAutoHyphens/>
              <w:kinsoku w:val="0"/>
              <w:autoSpaceDE w:val="0"/>
              <w:autoSpaceDN w:val="0"/>
              <w:spacing w:line="278" w:lineRule="exact"/>
              <w:jc w:val="center"/>
              <w:rPr>
                <w:rFonts w:ascii="ＭＳ ゴシック" w:eastAsia="ＭＳ ゴシック" w:hAnsi="ＭＳ ゴシック" w:cs="Times New Roman"/>
                <w:b/>
                <w:spacing w:val="2"/>
              </w:rPr>
            </w:pPr>
            <w:r w:rsidRPr="00F572F7">
              <w:rPr>
                <w:rFonts w:ascii="ＭＳ ゴシック" w:eastAsia="ＭＳ ゴシック" w:hAnsi="ＭＳ ゴシック" w:hint="eastAsia"/>
                <w:b/>
              </w:rPr>
              <w:t>書　名</w:t>
            </w:r>
          </w:p>
          <w:p w14:paraId="15F68707" w14:textId="77777777" w:rsidR="00F572F7" w:rsidRDefault="00F572F7" w:rsidP="00EC561B">
            <w:pPr>
              <w:suppressAutoHyphens/>
              <w:kinsoku w:val="0"/>
              <w:wordWrap w:val="0"/>
              <w:autoSpaceDE w:val="0"/>
              <w:autoSpaceDN w:val="0"/>
              <w:spacing w:line="278" w:lineRule="exact"/>
              <w:jc w:val="center"/>
              <w:rPr>
                <w:rFonts w:ascii="ＭＳ 明朝" w:cs="Times New Roman"/>
                <w:spacing w:val="2"/>
              </w:rPr>
            </w:pPr>
            <w:r>
              <w:rPr>
                <w:rFonts w:hint="eastAsia"/>
                <w:sz w:val="16"/>
                <w:szCs w:val="16"/>
              </w:rPr>
              <w:t>（教科書記号・番号）</w:t>
            </w:r>
          </w:p>
        </w:tc>
        <w:tc>
          <w:tcPr>
            <w:tcW w:w="7229" w:type="dxa"/>
            <w:tcBorders>
              <w:top w:val="single" w:sz="4" w:space="0" w:color="000000"/>
              <w:left w:val="single" w:sz="4" w:space="0" w:color="000000"/>
              <w:bottom w:val="single" w:sz="4" w:space="0" w:color="000000"/>
              <w:right w:val="single" w:sz="4" w:space="0" w:color="000000"/>
            </w:tcBorders>
            <w:vAlign w:val="center"/>
          </w:tcPr>
          <w:p w14:paraId="2DA6D13D" w14:textId="20B868FD" w:rsidR="00F572F7" w:rsidRPr="00C07759" w:rsidRDefault="00F572F7" w:rsidP="00EC561B">
            <w:pPr>
              <w:suppressAutoHyphens/>
              <w:kinsoku w:val="0"/>
              <w:wordWrap w:val="0"/>
              <w:autoSpaceDE w:val="0"/>
              <w:autoSpaceDN w:val="0"/>
              <w:spacing w:line="278" w:lineRule="exact"/>
              <w:jc w:val="center"/>
              <w:rPr>
                <w:rFonts w:ascii="ＭＳ ゴシック" w:eastAsia="ＭＳ ゴシック" w:hAnsi="ＭＳ ゴシック" w:cs="Times New Roman"/>
                <w:spacing w:val="2"/>
              </w:rPr>
            </w:pPr>
            <w:r w:rsidRPr="00C07759">
              <w:rPr>
                <w:rFonts w:ascii="ＭＳ ゴシック" w:eastAsia="ＭＳ ゴシック" w:hAnsi="ＭＳ ゴシック" w:cs="ＤＦ特太ゴシック体" w:hint="eastAsia"/>
                <w:b/>
                <w:bCs/>
              </w:rPr>
              <w:t>高等学校　政治・経済</w:t>
            </w:r>
          </w:p>
          <w:p w14:paraId="73B5E5C0" w14:textId="4915CE9A" w:rsidR="00F572F7" w:rsidRDefault="00F572F7" w:rsidP="00EC561B">
            <w:pPr>
              <w:suppressAutoHyphens/>
              <w:kinsoku w:val="0"/>
              <w:wordWrap w:val="0"/>
              <w:autoSpaceDE w:val="0"/>
              <w:autoSpaceDN w:val="0"/>
              <w:spacing w:line="278" w:lineRule="exact"/>
              <w:jc w:val="center"/>
              <w:rPr>
                <w:rFonts w:ascii="ＭＳ 明朝" w:cs="Times New Roman"/>
                <w:spacing w:val="2"/>
              </w:rPr>
            </w:pPr>
            <w:r>
              <w:rPr>
                <w:rFonts w:hint="eastAsia"/>
              </w:rPr>
              <w:t>（</w:t>
            </w:r>
            <w:r w:rsidR="00C07759">
              <w:rPr>
                <w:rFonts w:hint="eastAsia"/>
              </w:rPr>
              <w:t>35</w:t>
            </w:r>
            <w:r>
              <w:rPr>
                <w:rFonts w:hint="eastAsia"/>
              </w:rPr>
              <w:t>清水・政経</w:t>
            </w:r>
            <w:r w:rsidR="00431657" w:rsidRPr="009D11C3">
              <w:rPr>
                <w:rFonts w:hint="eastAsia"/>
                <w:color w:val="000000"/>
              </w:rPr>
              <w:t>704</w:t>
            </w:r>
            <w:r>
              <w:rPr>
                <w:rFonts w:hint="eastAsia"/>
              </w:rPr>
              <w:t>）</w:t>
            </w:r>
          </w:p>
        </w:tc>
      </w:tr>
      <w:tr w:rsidR="00F572F7" w14:paraId="596B45DE" w14:textId="77777777" w:rsidTr="003E664E">
        <w:trPr>
          <w:trHeight w:val="403"/>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E81B87" w14:textId="77777777" w:rsidR="00F572F7" w:rsidRPr="00F572F7" w:rsidRDefault="00F572F7" w:rsidP="00FA1E43">
            <w:pPr>
              <w:suppressAutoHyphens/>
              <w:kinsoku w:val="0"/>
              <w:wordWrap w:val="0"/>
              <w:autoSpaceDE w:val="0"/>
              <w:autoSpaceDN w:val="0"/>
              <w:spacing w:line="278" w:lineRule="exact"/>
              <w:jc w:val="center"/>
              <w:rPr>
                <w:rFonts w:ascii="ＭＳ ゴシック" w:eastAsia="ＭＳ ゴシック" w:hAnsi="ＭＳ ゴシック" w:cs="Times New Roman"/>
                <w:b/>
                <w:spacing w:val="2"/>
              </w:rPr>
            </w:pPr>
            <w:r w:rsidRPr="00F572F7">
              <w:rPr>
                <w:rFonts w:ascii="ＭＳ ゴシック" w:eastAsia="ＭＳ ゴシック" w:hAnsi="ＭＳ ゴシック" w:hint="eastAsia"/>
                <w:b/>
              </w:rPr>
              <w:t>検討の観点</w:t>
            </w:r>
          </w:p>
        </w:tc>
        <w:tc>
          <w:tcPr>
            <w:tcW w:w="722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74E469" w14:textId="77777777" w:rsidR="00F572F7" w:rsidRPr="00F572F7" w:rsidRDefault="00F572F7" w:rsidP="00FA1E43">
            <w:pPr>
              <w:suppressAutoHyphens/>
              <w:kinsoku w:val="0"/>
              <w:wordWrap w:val="0"/>
              <w:autoSpaceDE w:val="0"/>
              <w:autoSpaceDN w:val="0"/>
              <w:spacing w:line="278" w:lineRule="exact"/>
              <w:jc w:val="center"/>
              <w:rPr>
                <w:rFonts w:ascii="ＭＳ ゴシック" w:eastAsia="ＭＳ ゴシック" w:hAnsi="ＭＳ ゴシック" w:cs="Times New Roman"/>
                <w:b/>
                <w:spacing w:val="2"/>
              </w:rPr>
            </w:pPr>
            <w:r w:rsidRPr="00F572F7">
              <w:rPr>
                <w:rFonts w:ascii="ＭＳ ゴシック" w:eastAsia="ＭＳ ゴシック" w:hAnsi="ＭＳ ゴシック" w:hint="eastAsia"/>
                <w:b/>
              </w:rPr>
              <w:t>内容の構成および特色</w:t>
            </w:r>
          </w:p>
        </w:tc>
      </w:tr>
      <w:tr w:rsidR="00F572F7" w:rsidRPr="00EC561B" w14:paraId="3747F6B5" w14:textId="77777777" w:rsidTr="003E664E">
        <w:trPr>
          <w:trHeight w:val="2963"/>
        </w:trPr>
        <w:tc>
          <w:tcPr>
            <w:tcW w:w="2357" w:type="dxa"/>
            <w:tcBorders>
              <w:top w:val="single" w:sz="4" w:space="0" w:color="000000"/>
              <w:left w:val="single" w:sz="4" w:space="0" w:color="000000"/>
              <w:bottom w:val="single" w:sz="4" w:space="0" w:color="000000"/>
              <w:right w:val="single" w:sz="4" w:space="0" w:color="000000"/>
            </w:tcBorders>
          </w:tcPr>
          <w:p w14:paraId="36DA8770" w14:textId="06CD353F" w:rsidR="00F572F7" w:rsidRPr="00EC561B" w:rsidRDefault="00F572F7" w:rsidP="00192C7C">
            <w:pPr>
              <w:suppressAutoHyphens/>
              <w:kinsoku w:val="0"/>
              <w:wordWrap w:val="0"/>
              <w:autoSpaceDE w:val="0"/>
              <w:autoSpaceDN w:val="0"/>
              <w:spacing w:line="278" w:lineRule="exact"/>
              <w:jc w:val="left"/>
              <w:rPr>
                <w:rFonts w:ascii="ＭＳ 明朝" w:cs="Times New Roman"/>
                <w:spacing w:val="2"/>
                <w:sz w:val="20"/>
                <w:szCs w:val="20"/>
              </w:rPr>
            </w:pPr>
            <w:r w:rsidRPr="00EC561B">
              <w:rPr>
                <w:rFonts w:hint="eastAsia"/>
                <w:sz w:val="20"/>
                <w:szCs w:val="20"/>
              </w:rPr>
              <w:t>内容の程度・選択</w:t>
            </w:r>
          </w:p>
          <w:p w14:paraId="51E13AAA" w14:textId="66E218E5" w:rsidR="00045DA1" w:rsidRPr="00EC561B" w:rsidRDefault="00FA1E43" w:rsidP="007D587E">
            <w:pPr>
              <w:suppressAutoHyphens/>
              <w:kinsoku w:val="0"/>
              <w:wordWrap w:val="0"/>
              <w:autoSpaceDE w:val="0"/>
              <w:autoSpaceDN w:val="0"/>
              <w:spacing w:line="278" w:lineRule="exact"/>
              <w:jc w:val="left"/>
              <w:rPr>
                <w:rFonts w:ascii="ＭＳ 明朝" w:cs="Times New Roman"/>
                <w:spacing w:val="2"/>
                <w:sz w:val="20"/>
                <w:szCs w:val="20"/>
              </w:rPr>
            </w:pPr>
            <w:r w:rsidRPr="00EC561B">
              <w:rPr>
                <w:rFonts w:ascii="ＭＳ 明朝" w:cs="Times New Roman" w:hint="eastAsia"/>
                <w:spacing w:val="2"/>
                <w:sz w:val="20"/>
                <w:szCs w:val="20"/>
              </w:rPr>
              <w:t>（内容の工夫）</w:t>
            </w:r>
          </w:p>
        </w:tc>
        <w:tc>
          <w:tcPr>
            <w:tcW w:w="7229" w:type="dxa"/>
            <w:tcBorders>
              <w:top w:val="single" w:sz="4" w:space="0" w:color="000000"/>
              <w:left w:val="single" w:sz="4" w:space="0" w:color="000000"/>
              <w:bottom w:val="single" w:sz="4" w:space="0" w:color="000000"/>
              <w:right w:val="single" w:sz="4" w:space="0" w:color="000000"/>
            </w:tcBorders>
          </w:tcPr>
          <w:p w14:paraId="4894672C" w14:textId="65B5EC22" w:rsidR="00F572F7" w:rsidRPr="0016018C" w:rsidRDefault="00045DA1" w:rsidP="00835908">
            <w:pPr>
              <w:suppressAutoHyphens/>
              <w:wordWrap w:val="0"/>
              <w:overflowPunct/>
              <w:autoSpaceDE w:val="0"/>
              <w:autoSpaceDN w:val="0"/>
              <w:spacing w:line="278" w:lineRule="exact"/>
              <w:ind w:left="202" w:hangingChars="100" w:hanging="202"/>
              <w:jc w:val="left"/>
              <w:rPr>
                <w:sz w:val="20"/>
                <w:szCs w:val="20"/>
              </w:rPr>
            </w:pPr>
            <w:r w:rsidRPr="0016018C">
              <w:rPr>
                <w:rFonts w:hint="eastAsia"/>
                <w:sz w:val="20"/>
                <w:szCs w:val="20"/>
              </w:rPr>
              <w:t>●</w:t>
            </w:r>
            <w:r w:rsidR="00F572F7" w:rsidRPr="0016018C">
              <w:rPr>
                <w:rFonts w:hint="eastAsia"/>
                <w:sz w:val="20"/>
                <w:szCs w:val="20"/>
              </w:rPr>
              <w:t>本文は，基礎的・基本的な必須事項が写真・グラフなどとともに詳しく記述され，課題意識をもった内容で展開されている。</w:t>
            </w:r>
          </w:p>
          <w:p w14:paraId="13811B5C" w14:textId="51D171EB" w:rsidR="00980F20" w:rsidRPr="0016018C" w:rsidRDefault="00980F20" w:rsidP="00835908">
            <w:pPr>
              <w:suppressAutoHyphens/>
              <w:wordWrap w:val="0"/>
              <w:overflowPunct/>
              <w:autoSpaceDE w:val="0"/>
              <w:autoSpaceDN w:val="0"/>
              <w:spacing w:line="278" w:lineRule="exact"/>
              <w:ind w:left="202" w:hangingChars="100" w:hanging="202"/>
              <w:jc w:val="left"/>
              <w:rPr>
                <w:sz w:val="20"/>
                <w:szCs w:val="20"/>
              </w:rPr>
            </w:pPr>
            <w:r w:rsidRPr="0016018C">
              <w:rPr>
                <w:rFonts w:hint="eastAsia"/>
                <w:sz w:val="20"/>
                <w:szCs w:val="20"/>
              </w:rPr>
              <w:t>●各節の冒頭に，その節の学習の目当てとして問いかけを配置し，テーマの内容をできるだけ焦点化させる工夫がなされている。また，学習を深める視点として適宜「深める！」</w:t>
            </w:r>
            <w:r w:rsidR="00094978" w:rsidRPr="0016018C">
              <w:rPr>
                <w:rFonts w:hint="eastAsia"/>
                <w:sz w:val="20"/>
                <w:szCs w:val="20"/>
              </w:rPr>
              <w:t>が</w:t>
            </w:r>
            <w:r w:rsidRPr="0016018C">
              <w:rPr>
                <w:rFonts w:hint="eastAsia"/>
                <w:sz w:val="20"/>
                <w:szCs w:val="20"/>
              </w:rPr>
              <w:t>配置</w:t>
            </w:r>
            <w:r w:rsidR="00094978" w:rsidRPr="0016018C">
              <w:rPr>
                <w:rFonts w:hint="eastAsia"/>
                <w:sz w:val="20"/>
                <w:szCs w:val="20"/>
              </w:rPr>
              <w:t>され</w:t>
            </w:r>
            <w:r w:rsidRPr="0016018C">
              <w:rPr>
                <w:rFonts w:hint="eastAsia"/>
                <w:sz w:val="20"/>
                <w:szCs w:val="20"/>
              </w:rPr>
              <w:t>ている。</w:t>
            </w:r>
          </w:p>
          <w:p w14:paraId="0046CD8B" w14:textId="254B5EED" w:rsidR="00F572F7" w:rsidRPr="0016018C" w:rsidRDefault="00045DA1" w:rsidP="00835908">
            <w:pPr>
              <w:suppressAutoHyphens/>
              <w:wordWrap w:val="0"/>
              <w:overflowPunct/>
              <w:autoSpaceDE w:val="0"/>
              <w:autoSpaceDN w:val="0"/>
              <w:spacing w:line="278" w:lineRule="exact"/>
              <w:ind w:left="206" w:hangingChars="100" w:hanging="206"/>
              <w:jc w:val="left"/>
              <w:rPr>
                <w:rFonts w:ascii="ＭＳ 明朝" w:cs="Times New Roman"/>
                <w:spacing w:val="2"/>
                <w:sz w:val="20"/>
                <w:szCs w:val="20"/>
              </w:rPr>
            </w:pPr>
            <w:r w:rsidRPr="0016018C">
              <w:rPr>
                <w:rFonts w:ascii="ＭＳ 明朝" w:cs="Times New Roman" w:hint="eastAsia"/>
                <w:spacing w:val="2"/>
                <w:sz w:val="20"/>
                <w:szCs w:val="20"/>
              </w:rPr>
              <w:t>●</w:t>
            </w:r>
            <w:r w:rsidR="00DC1AFC" w:rsidRPr="0016018C">
              <w:rPr>
                <w:rFonts w:ascii="ＭＳ 明朝" w:cs="Times New Roman" w:hint="eastAsia"/>
                <w:spacing w:val="2"/>
                <w:sz w:val="20"/>
                <w:szCs w:val="20"/>
              </w:rPr>
              <w:t>各</w:t>
            </w:r>
            <w:r w:rsidR="00F572F7" w:rsidRPr="0016018C">
              <w:rPr>
                <w:rFonts w:ascii="ＭＳ 明朝" w:cs="Times New Roman" w:hint="eastAsia"/>
                <w:spacing w:val="2"/>
                <w:sz w:val="20"/>
                <w:szCs w:val="20"/>
              </w:rPr>
              <w:t>編</w:t>
            </w:r>
            <w:r w:rsidR="00DC1AFC" w:rsidRPr="0016018C">
              <w:rPr>
                <w:rFonts w:ascii="ＭＳ 明朝" w:cs="Times New Roman" w:hint="eastAsia"/>
                <w:spacing w:val="2"/>
                <w:sz w:val="20"/>
                <w:szCs w:val="20"/>
              </w:rPr>
              <w:t>第</w:t>
            </w:r>
            <w:r w:rsidR="007D587E" w:rsidRPr="0016018C">
              <w:rPr>
                <w:rFonts w:ascii="ＭＳ 明朝" w:cs="Times New Roman"/>
                <w:spacing w:val="2"/>
                <w:sz w:val="20"/>
                <w:szCs w:val="20"/>
              </w:rPr>
              <w:t>3</w:t>
            </w:r>
            <w:r w:rsidR="00DC1AFC" w:rsidRPr="0016018C">
              <w:rPr>
                <w:rFonts w:ascii="ＭＳ 明朝" w:cs="Times New Roman" w:hint="eastAsia"/>
                <w:spacing w:val="2"/>
                <w:sz w:val="20"/>
                <w:szCs w:val="20"/>
              </w:rPr>
              <w:t>章</w:t>
            </w:r>
            <w:r w:rsidR="00F572F7" w:rsidRPr="0016018C">
              <w:rPr>
                <w:rFonts w:ascii="ＭＳ 明朝" w:cs="Times New Roman" w:hint="eastAsia"/>
                <w:spacing w:val="2"/>
                <w:sz w:val="20"/>
                <w:szCs w:val="20"/>
              </w:rPr>
              <w:t>では学習指導要領に即して課題探究学習を配置し，さらに独自の問題意識をもったテーマ設定もなされている。現代の政治・経済的な諸課題を明確に示しながら，</w:t>
            </w:r>
            <w:r w:rsidR="00094978" w:rsidRPr="0016018C">
              <w:rPr>
                <w:rFonts w:ascii="ＭＳ 明朝" w:cs="Times New Roman" w:hint="eastAsia"/>
                <w:spacing w:val="2"/>
                <w:sz w:val="20"/>
                <w:szCs w:val="20"/>
              </w:rPr>
              <w:t>生徒たちにそれらについて多面的・多角的に</w:t>
            </w:r>
            <w:r w:rsidR="00835908">
              <w:rPr>
                <w:rFonts w:ascii="ＭＳ 明朝" w:cs="Times New Roman" w:hint="eastAsia"/>
                <w:spacing w:val="2"/>
                <w:sz w:val="20"/>
                <w:szCs w:val="20"/>
              </w:rPr>
              <w:t>探究し</w:t>
            </w:r>
            <w:r w:rsidR="00094978" w:rsidRPr="0016018C">
              <w:rPr>
                <w:rFonts w:ascii="ＭＳ 明朝" w:cs="Times New Roman" w:hint="eastAsia"/>
                <w:spacing w:val="2"/>
                <w:sz w:val="20"/>
                <w:szCs w:val="20"/>
              </w:rPr>
              <w:t>，解決していく方法を考察</w:t>
            </w:r>
            <w:r w:rsidR="00835908">
              <w:rPr>
                <w:rFonts w:ascii="ＭＳ 明朝" w:cs="Times New Roman" w:hint="eastAsia"/>
                <w:spacing w:val="2"/>
                <w:sz w:val="20"/>
                <w:szCs w:val="20"/>
              </w:rPr>
              <w:t>・構想</w:t>
            </w:r>
            <w:r w:rsidR="00094978" w:rsidRPr="0016018C">
              <w:rPr>
                <w:rFonts w:ascii="ＭＳ 明朝" w:cs="Times New Roman" w:hint="eastAsia"/>
                <w:spacing w:val="2"/>
                <w:sz w:val="20"/>
                <w:szCs w:val="20"/>
              </w:rPr>
              <w:t>する力を身に付けていくことができるように留意している。</w:t>
            </w:r>
          </w:p>
        </w:tc>
      </w:tr>
      <w:tr w:rsidR="00F572F7" w:rsidRPr="00EC561B" w14:paraId="3B368376" w14:textId="77777777" w:rsidTr="003E664E">
        <w:trPr>
          <w:trHeight w:val="1545"/>
        </w:trPr>
        <w:tc>
          <w:tcPr>
            <w:tcW w:w="2357" w:type="dxa"/>
            <w:tcBorders>
              <w:top w:val="single" w:sz="4" w:space="0" w:color="000000"/>
              <w:left w:val="single" w:sz="4" w:space="0" w:color="000000"/>
              <w:bottom w:val="single" w:sz="4" w:space="0" w:color="000000"/>
              <w:right w:val="single" w:sz="4" w:space="0" w:color="000000"/>
            </w:tcBorders>
          </w:tcPr>
          <w:p w14:paraId="5ED053D9" w14:textId="77777777" w:rsidR="00F572F7" w:rsidRPr="00EC561B" w:rsidRDefault="00F572F7" w:rsidP="00192C7C">
            <w:pPr>
              <w:suppressAutoHyphens/>
              <w:kinsoku w:val="0"/>
              <w:wordWrap w:val="0"/>
              <w:autoSpaceDE w:val="0"/>
              <w:autoSpaceDN w:val="0"/>
              <w:spacing w:line="278" w:lineRule="exact"/>
              <w:jc w:val="left"/>
              <w:rPr>
                <w:rFonts w:ascii="ＭＳ 明朝" w:cs="Times New Roman"/>
                <w:spacing w:val="2"/>
                <w:sz w:val="20"/>
                <w:szCs w:val="20"/>
              </w:rPr>
            </w:pPr>
            <w:r w:rsidRPr="00EC561B">
              <w:rPr>
                <w:rFonts w:hint="eastAsia"/>
                <w:sz w:val="20"/>
                <w:szCs w:val="20"/>
              </w:rPr>
              <w:t>組織・配列・分量</w:t>
            </w:r>
          </w:p>
          <w:p w14:paraId="08CF8C25" w14:textId="566AAA65" w:rsidR="00045DA1" w:rsidRPr="00EC561B" w:rsidRDefault="00FA1E43" w:rsidP="003E664E">
            <w:pPr>
              <w:suppressAutoHyphens/>
              <w:kinsoku w:val="0"/>
              <w:wordWrap w:val="0"/>
              <w:autoSpaceDE w:val="0"/>
              <w:autoSpaceDN w:val="0"/>
              <w:spacing w:line="278" w:lineRule="exact"/>
              <w:jc w:val="left"/>
              <w:rPr>
                <w:rFonts w:ascii="ＭＳ 明朝" w:cs="Times New Roman"/>
                <w:spacing w:val="2"/>
                <w:sz w:val="20"/>
                <w:szCs w:val="20"/>
              </w:rPr>
            </w:pPr>
            <w:r w:rsidRPr="00EC561B">
              <w:rPr>
                <w:rFonts w:ascii="ＭＳ 明朝" w:cs="Times New Roman" w:hint="eastAsia"/>
                <w:spacing w:val="2"/>
                <w:sz w:val="20"/>
                <w:szCs w:val="20"/>
              </w:rPr>
              <w:t>（全体の構成）</w:t>
            </w:r>
          </w:p>
        </w:tc>
        <w:tc>
          <w:tcPr>
            <w:tcW w:w="7229" w:type="dxa"/>
            <w:tcBorders>
              <w:top w:val="single" w:sz="4" w:space="0" w:color="000000"/>
              <w:left w:val="single" w:sz="4" w:space="0" w:color="000000"/>
              <w:bottom w:val="single" w:sz="4" w:space="0" w:color="000000"/>
              <w:right w:val="single" w:sz="4" w:space="0" w:color="000000"/>
            </w:tcBorders>
          </w:tcPr>
          <w:p w14:paraId="1D400C9C" w14:textId="230AF5B7" w:rsidR="00045DA1" w:rsidRPr="0016018C" w:rsidRDefault="00045DA1" w:rsidP="00835908">
            <w:pPr>
              <w:suppressAutoHyphens/>
              <w:wordWrap w:val="0"/>
              <w:overflowPunct/>
              <w:autoSpaceDE w:val="0"/>
              <w:autoSpaceDN w:val="0"/>
              <w:spacing w:line="278" w:lineRule="exact"/>
              <w:ind w:left="202" w:hangingChars="100" w:hanging="202"/>
              <w:jc w:val="left"/>
              <w:rPr>
                <w:sz w:val="20"/>
                <w:szCs w:val="20"/>
              </w:rPr>
            </w:pPr>
            <w:r w:rsidRPr="0016018C">
              <w:rPr>
                <w:rFonts w:hint="eastAsia"/>
                <w:sz w:val="20"/>
                <w:szCs w:val="20"/>
              </w:rPr>
              <w:t>●</w:t>
            </w:r>
            <w:r w:rsidR="00F572F7" w:rsidRPr="0016018C">
              <w:rPr>
                <w:rFonts w:hint="eastAsia"/>
                <w:sz w:val="20"/>
                <w:szCs w:val="20"/>
              </w:rPr>
              <w:t>学習指導要領</w:t>
            </w:r>
            <w:r w:rsidR="007D587E" w:rsidRPr="0016018C">
              <w:rPr>
                <w:rFonts w:hint="eastAsia"/>
                <w:sz w:val="20"/>
                <w:szCs w:val="20"/>
              </w:rPr>
              <w:t>に基づき</w:t>
            </w:r>
            <w:r w:rsidR="00F572F7" w:rsidRPr="0016018C">
              <w:rPr>
                <w:rFonts w:hint="eastAsia"/>
                <w:sz w:val="20"/>
                <w:szCs w:val="20"/>
              </w:rPr>
              <w:t>ながら系統的な記述を重視し構成されて</w:t>
            </w:r>
            <w:r w:rsidR="00094978" w:rsidRPr="0016018C">
              <w:rPr>
                <w:rFonts w:hint="eastAsia"/>
                <w:sz w:val="20"/>
                <w:szCs w:val="20"/>
              </w:rPr>
              <w:t>いる。</w:t>
            </w:r>
          </w:p>
          <w:p w14:paraId="3D3073BF" w14:textId="77777777" w:rsidR="00045DA1" w:rsidRPr="0016018C" w:rsidRDefault="00045DA1" w:rsidP="00835908">
            <w:pPr>
              <w:suppressAutoHyphens/>
              <w:wordWrap w:val="0"/>
              <w:overflowPunct/>
              <w:autoSpaceDE w:val="0"/>
              <w:autoSpaceDN w:val="0"/>
              <w:spacing w:line="278" w:lineRule="exact"/>
              <w:ind w:left="202" w:hangingChars="100" w:hanging="202"/>
              <w:jc w:val="left"/>
              <w:rPr>
                <w:sz w:val="20"/>
                <w:szCs w:val="20"/>
              </w:rPr>
            </w:pPr>
            <w:r w:rsidRPr="0016018C">
              <w:rPr>
                <w:rFonts w:hint="eastAsia"/>
                <w:sz w:val="20"/>
                <w:szCs w:val="20"/>
              </w:rPr>
              <w:t>●</w:t>
            </w:r>
            <w:r w:rsidR="00F572F7" w:rsidRPr="0016018C">
              <w:rPr>
                <w:rFonts w:hint="eastAsia"/>
                <w:sz w:val="20"/>
                <w:szCs w:val="20"/>
              </w:rPr>
              <w:t>本文はテーマごとに脚注やコラム，図表・グラフ・写真などで学習内容が詳しく明快に示されている。</w:t>
            </w:r>
          </w:p>
          <w:p w14:paraId="06D52D46" w14:textId="09A34812" w:rsidR="00F572F7" w:rsidRPr="0016018C" w:rsidRDefault="00045DA1" w:rsidP="00162F68">
            <w:pPr>
              <w:suppressAutoHyphens/>
              <w:wordWrap w:val="0"/>
              <w:overflowPunct/>
              <w:autoSpaceDE w:val="0"/>
              <w:autoSpaceDN w:val="0"/>
              <w:spacing w:line="278" w:lineRule="exact"/>
              <w:ind w:left="202" w:hangingChars="100" w:hanging="202"/>
              <w:jc w:val="left"/>
              <w:rPr>
                <w:sz w:val="20"/>
                <w:szCs w:val="20"/>
              </w:rPr>
            </w:pPr>
            <w:r w:rsidRPr="0016018C">
              <w:rPr>
                <w:rFonts w:hint="eastAsia"/>
                <w:sz w:val="20"/>
                <w:szCs w:val="20"/>
              </w:rPr>
              <w:t>●</w:t>
            </w:r>
            <w:r w:rsidR="00F572F7" w:rsidRPr="0016018C">
              <w:rPr>
                <w:rFonts w:hint="eastAsia"/>
                <w:sz w:val="20"/>
                <w:szCs w:val="20"/>
              </w:rPr>
              <w:t>生徒の考え</w:t>
            </w:r>
            <w:r w:rsidR="00835908">
              <w:rPr>
                <w:rFonts w:hint="eastAsia"/>
                <w:sz w:val="20"/>
                <w:szCs w:val="20"/>
              </w:rPr>
              <w:t>が</w:t>
            </w:r>
            <w:r w:rsidR="00F572F7" w:rsidRPr="0016018C">
              <w:rPr>
                <w:rFonts w:hint="eastAsia"/>
                <w:sz w:val="20"/>
                <w:szCs w:val="20"/>
              </w:rPr>
              <w:t>深め</w:t>
            </w:r>
            <w:r w:rsidR="00835908">
              <w:rPr>
                <w:rFonts w:hint="eastAsia"/>
                <w:sz w:val="20"/>
                <w:szCs w:val="20"/>
              </w:rPr>
              <w:t>られ</w:t>
            </w:r>
            <w:r w:rsidR="00F572F7" w:rsidRPr="0016018C">
              <w:rPr>
                <w:rFonts w:hint="eastAsia"/>
                <w:sz w:val="20"/>
                <w:szCs w:val="20"/>
              </w:rPr>
              <w:t>ように項目を配置し，記述は扱いやすい分量になっている。</w:t>
            </w:r>
          </w:p>
        </w:tc>
      </w:tr>
      <w:tr w:rsidR="00F572F7" w:rsidRPr="00EC561B" w14:paraId="57416C55" w14:textId="77777777" w:rsidTr="00835908">
        <w:trPr>
          <w:trHeight w:val="2956"/>
        </w:trPr>
        <w:tc>
          <w:tcPr>
            <w:tcW w:w="2357" w:type="dxa"/>
            <w:tcBorders>
              <w:top w:val="single" w:sz="4" w:space="0" w:color="000000"/>
              <w:left w:val="single" w:sz="4" w:space="0" w:color="000000"/>
              <w:bottom w:val="single" w:sz="4" w:space="0" w:color="000000"/>
              <w:right w:val="single" w:sz="4" w:space="0" w:color="000000"/>
            </w:tcBorders>
          </w:tcPr>
          <w:p w14:paraId="355E2613" w14:textId="0DC9A2A7" w:rsidR="00F572F7" w:rsidRPr="00980F20" w:rsidRDefault="00F572F7" w:rsidP="00192C7C">
            <w:pPr>
              <w:suppressAutoHyphens/>
              <w:kinsoku w:val="0"/>
              <w:wordWrap w:val="0"/>
              <w:autoSpaceDE w:val="0"/>
              <w:autoSpaceDN w:val="0"/>
              <w:spacing w:line="278" w:lineRule="exact"/>
              <w:jc w:val="left"/>
              <w:rPr>
                <w:rFonts w:ascii="ＭＳ 明朝" w:cs="Times New Roman"/>
                <w:spacing w:val="2"/>
                <w:sz w:val="20"/>
                <w:szCs w:val="20"/>
              </w:rPr>
            </w:pPr>
            <w:r w:rsidRPr="00980F20">
              <w:rPr>
                <w:rFonts w:hint="eastAsia"/>
                <w:sz w:val="20"/>
                <w:szCs w:val="20"/>
              </w:rPr>
              <w:t>表記・表現・</w:t>
            </w:r>
            <w:r w:rsidR="00FA1E43" w:rsidRPr="00980F20">
              <w:rPr>
                <w:rFonts w:hint="eastAsia"/>
                <w:sz w:val="20"/>
                <w:szCs w:val="20"/>
              </w:rPr>
              <w:t>指導の工夫</w:t>
            </w:r>
          </w:p>
          <w:p w14:paraId="754C9E74" w14:textId="1C83B9E2" w:rsidR="00045DA1" w:rsidRPr="00980F20" w:rsidRDefault="00FA1E43" w:rsidP="007D587E">
            <w:pPr>
              <w:suppressAutoHyphens/>
              <w:kinsoku w:val="0"/>
              <w:wordWrap w:val="0"/>
              <w:autoSpaceDE w:val="0"/>
              <w:autoSpaceDN w:val="0"/>
              <w:spacing w:line="278" w:lineRule="exact"/>
              <w:jc w:val="left"/>
              <w:rPr>
                <w:rFonts w:ascii="ＭＳ 明朝" w:cs="Times New Roman"/>
                <w:spacing w:val="2"/>
                <w:sz w:val="20"/>
                <w:szCs w:val="20"/>
              </w:rPr>
            </w:pPr>
            <w:r w:rsidRPr="00980F20">
              <w:rPr>
                <w:rFonts w:ascii="ＭＳ 明朝" w:cs="Times New Roman" w:hint="eastAsia"/>
                <w:spacing w:val="2"/>
                <w:sz w:val="20"/>
                <w:szCs w:val="20"/>
              </w:rPr>
              <w:t>（創意工夫，指導のための教材など）</w:t>
            </w:r>
          </w:p>
        </w:tc>
        <w:tc>
          <w:tcPr>
            <w:tcW w:w="7229" w:type="dxa"/>
            <w:tcBorders>
              <w:top w:val="single" w:sz="4" w:space="0" w:color="000000"/>
              <w:left w:val="single" w:sz="4" w:space="0" w:color="000000"/>
              <w:bottom w:val="single" w:sz="4" w:space="0" w:color="000000"/>
              <w:right w:val="single" w:sz="4" w:space="0" w:color="000000"/>
            </w:tcBorders>
          </w:tcPr>
          <w:p w14:paraId="1767BB75" w14:textId="77777777" w:rsidR="00F572F7" w:rsidRPr="0016018C" w:rsidRDefault="00045DA1" w:rsidP="00835908">
            <w:pPr>
              <w:suppressAutoHyphens/>
              <w:wordWrap w:val="0"/>
              <w:overflowPunct/>
              <w:autoSpaceDE w:val="0"/>
              <w:autoSpaceDN w:val="0"/>
              <w:spacing w:line="278" w:lineRule="exact"/>
              <w:ind w:left="269" w:hangingChars="133" w:hanging="269"/>
              <w:jc w:val="left"/>
              <w:rPr>
                <w:rFonts w:ascii="ＭＳ 明朝" w:cs="Times New Roman"/>
                <w:spacing w:val="2"/>
                <w:sz w:val="20"/>
                <w:szCs w:val="20"/>
              </w:rPr>
            </w:pPr>
            <w:r w:rsidRPr="0016018C">
              <w:rPr>
                <w:rFonts w:hint="eastAsia"/>
                <w:sz w:val="20"/>
                <w:szCs w:val="20"/>
              </w:rPr>
              <w:t>●</w:t>
            </w:r>
            <w:r w:rsidR="00F572F7" w:rsidRPr="0016018C">
              <w:rPr>
                <w:rFonts w:hint="eastAsia"/>
                <w:sz w:val="20"/>
                <w:szCs w:val="20"/>
              </w:rPr>
              <w:t>オールカラー印刷で写真やグラフ・図表・年表が効果的に豊富に掲載され，本文理解を補完する編集となっている。</w:t>
            </w:r>
          </w:p>
          <w:p w14:paraId="018F3FF7" w14:textId="23D37549" w:rsidR="00F572F7" w:rsidRPr="0016018C" w:rsidRDefault="00045DA1" w:rsidP="00835908">
            <w:pPr>
              <w:suppressAutoHyphens/>
              <w:wordWrap w:val="0"/>
              <w:overflowPunct/>
              <w:autoSpaceDE w:val="0"/>
              <w:autoSpaceDN w:val="0"/>
              <w:spacing w:line="278" w:lineRule="exact"/>
              <w:ind w:left="220" w:hangingChars="109" w:hanging="220"/>
              <w:jc w:val="left"/>
              <w:rPr>
                <w:rFonts w:ascii="ＭＳ 明朝" w:cs="Times New Roman"/>
                <w:spacing w:val="2"/>
                <w:sz w:val="20"/>
                <w:szCs w:val="20"/>
              </w:rPr>
            </w:pPr>
            <w:r w:rsidRPr="0016018C">
              <w:rPr>
                <w:rFonts w:hint="eastAsia"/>
                <w:sz w:val="20"/>
                <w:szCs w:val="20"/>
              </w:rPr>
              <w:t>●</w:t>
            </w:r>
            <w:r w:rsidR="00F572F7" w:rsidRPr="0016018C">
              <w:rPr>
                <w:rFonts w:hint="eastAsia"/>
                <w:sz w:val="20"/>
                <w:szCs w:val="20"/>
              </w:rPr>
              <w:t>表記・表現は生徒の発達段階に応じて適切である。本文は基本的な内容を中心に最新情報</w:t>
            </w:r>
            <w:r w:rsidR="00835908">
              <w:rPr>
                <w:rFonts w:hint="eastAsia"/>
                <w:sz w:val="20"/>
                <w:szCs w:val="20"/>
              </w:rPr>
              <w:t>や考えさせたい話題</w:t>
            </w:r>
            <w:r w:rsidR="00F572F7" w:rsidRPr="0016018C">
              <w:rPr>
                <w:rFonts w:hint="eastAsia"/>
                <w:sz w:val="20"/>
                <w:szCs w:val="20"/>
              </w:rPr>
              <w:t>も加味され，適切な分量で編集されている。とくに脚注はていねいに詳しく記述され，資料・コラムも必要かつ十分に配置されている。</w:t>
            </w:r>
          </w:p>
          <w:p w14:paraId="6F958CA4" w14:textId="1DAC09DA" w:rsidR="00F572F7" w:rsidRPr="0016018C" w:rsidRDefault="00873B0A" w:rsidP="00835908">
            <w:pPr>
              <w:suppressAutoHyphens/>
              <w:wordWrap w:val="0"/>
              <w:overflowPunct/>
              <w:autoSpaceDE w:val="0"/>
              <w:autoSpaceDN w:val="0"/>
              <w:spacing w:line="278" w:lineRule="exact"/>
              <w:ind w:left="269" w:hangingChars="133" w:hanging="269"/>
              <w:jc w:val="left"/>
              <w:rPr>
                <w:rFonts w:ascii="ＭＳ 明朝" w:cs="Times New Roman"/>
                <w:spacing w:val="2"/>
                <w:sz w:val="20"/>
                <w:szCs w:val="20"/>
              </w:rPr>
            </w:pPr>
            <w:r w:rsidRPr="0016018C">
              <w:rPr>
                <w:rFonts w:hint="eastAsia"/>
                <w:sz w:val="20"/>
                <w:szCs w:val="20"/>
              </w:rPr>
              <w:t>●教科書の周辺教材として，教科書に準拠したワークノートが準備されている。</w:t>
            </w:r>
            <w:r w:rsidR="00835908">
              <w:rPr>
                <w:rFonts w:hint="eastAsia"/>
                <w:sz w:val="20"/>
                <w:szCs w:val="20"/>
              </w:rPr>
              <w:t>ワークノートでは，</w:t>
            </w:r>
            <w:r w:rsidRPr="0016018C">
              <w:rPr>
                <w:rFonts w:hint="eastAsia"/>
                <w:sz w:val="20"/>
                <w:szCs w:val="20"/>
              </w:rPr>
              <w:t>生徒が主体的に学習を進め，単元ごとに知識の定着を図ることができる内容となっており，章末の発展問題を用いることで発展的な学習にも活用できる。</w:t>
            </w:r>
          </w:p>
        </w:tc>
      </w:tr>
      <w:tr w:rsidR="00FA1E43" w:rsidRPr="00EC561B" w14:paraId="4D0F7664" w14:textId="77777777" w:rsidTr="003E664E">
        <w:trPr>
          <w:trHeight w:val="1545"/>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7C301F9A" w14:textId="77777777" w:rsidR="00FA1E43" w:rsidRPr="007D587E" w:rsidRDefault="00FA1E43" w:rsidP="00192C7C">
            <w:pPr>
              <w:suppressAutoHyphens/>
              <w:kinsoku w:val="0"/>
              <w:wordWrap w:val="0"/>
              <w:autoSpaceDE w:val="0"/>
              <w:autoSpaceDN w:val="0"/>
              <w:spacing w:line="278" w:lineRule="exact"/>
              <w:jc w:val="left"/>
              <w:rPr>
                <w:sz w:val="20"/>
                <w:szCs w:val="20"/>
              </w:rPr>
            </w:pPr>
            <w:r w:rsidRPr="007D587E">
              <w:rPr>
                <w:rFonts w:hint="eastAsia"/>
                <w:sz w:val="20"/>
                <w:szCs w:val="20"/>
              </w:rPr>
              <w:t>印刷・造本</w:t>
            </w:r>
          </w:p>
          <w:p w14:paraId="17BE428B" w14:textId="2C57D69B" w:rsidR="00FA1E43" w:rsidRPr="007D587E" w:rsidRDefault="00FA1E43" w:rsidP="00192C7C">
            <w:pPr>
              <w:suppressAutoHyphens/>
              <w:kinsoku w:val="0"/>
              <w:wordWrap w:val="0"/>
              <w:autoSpaceDE w:val="0"/>
              <w:autoSpaceDN w:val="0"/>
              <w:spacing w:line="278" w:lineRule="exact"/>
              <w:jc w:val="left"/>
              <w:rPr>
                <w:sz w:val="20"/>
                <w:szCs w:val="20"/>
              </w:rPr>
            </w:pPr>
            <w:r w:rsidRPr="007D587E">
              <w:rPr>
                <w:rFonts w:hint="eastAsia"/>
                <w:sz w:val="20"/>
                <w:szCs w:val="20"/>
              </w:rPr>
              <w:t>配慮事項</w:t>
            </w:r>
          </w:p>
        </w:tc>
        <w:tc>
          <w:tcPr>
            <w:tcW w:w="7229" w:type="dxa"/>
            <w:tcBorders>
              <w:top w:val="single" w:sz="4" w:space="0" w:color="000000"/>
              <w:left w:val="single" w:sz="4" w:space="0" w:color="000000"/>
              <w:bottom w:val="single" w:sz="4" w:space="0" w:color="000000"/>
              <w:right w:val="single" w:sz="4" w:space="0" w:color="000000"/>
            </w:tcBorders>
          </w:tcPr>
          <w:p w14:paraId="6706FB0C" w14:textId="77777777" w:rsidR="00FA1E43" w:rsidRPr="0016018C" w:rsidRDefault="00FA1E43" w:rsidP="00835908">
            <w:pPr>
              <w:suppressAutoHyphens/>
              <w:wordWrap w:val="0"/>
              <w:overflowPunct/>
              <w:autoSpaceDE w:val="0"/>
              <w:autoSpaceDN w:val="0"/>
              <w:spacing w:line="278" w:lineRule="exact"/>
              <w:ind w:leftChars="2" w:left="220" w:hangingChars="107" w:hanging="216"/>
              <w:jc w:val="left"/>
              <w:rPr>
                <w:sz w:val="20"/>
                <w:szCs w:val="20"/>
              </w:rPr>
            </w:pPr>
            <w:r w:rsidRPr="0016018C">
              <w:rPr>
                <w:rFonts w:hint="eastAsia"/>
                <w:sz w:val="20"/>
                <w:szCs w:val="20"/>
              </w:rPr>
              <w:t>●活字の大きさは適切で，印刷も鮮明である。造本も堅牢である。</w:t>
            </w:r>
          </w:p>
          <w:p w14:paraId="088E463B" w14:textId="070DB3A4" w:rsidR="00873B0A" w:rsidRPr="0016018C" w:rsidRDefault="00873B0A" w:rsidP="00835908">
            <w:pPr>
              <w:suppressAutoHyphens/>
              <w:wordWrap w:val="0"/>
              <w:overflowPunct/>
              <w:autoSpaceDE w:val="0"/>
              <w:autoSpaceDN w:val="0"/>
              <w:spacing w:line="278" w:lineRule="exact"/>
              <w:ind w:leftChars="2" w:left="220" w:hangingChars="107" w:hanging="216"/>
              <w:jc w:val="left"/>
              <w:rPr>
                <w:sz w:val="20"/>
                <w:szCs w:val="20"/>
              </w:rPr>
            </w:pPr>
            <w:r w:rsidRPr="0016018C">
              <w:rPr>
                <w:rFonts w:hint="eastAsia"/>
                <w:sz w:val="20"/>
                <w:szCs w:val="20"/>
              </w:rPr>
              <w:t>●「国内政治・経済」「国際政治・経済」それぞれの分野の区分をわかりやすくするために印刷・製本上の配慮をしている。</w:t>
            </w:r>
          </w:p>
          <w:p w14:paraId="790B9992" w14:textId="6FE58FFD" w:rsidR="00873B0A" w:rsidRPr="0016018C" w:rsidRDefault="00873B0A" w:rsidP="00835908">
            <w:pPr>
              <w:suppressAutoHyphens/>
              <w:wordWrap w:val="0"/>
              <w:overflowPunct/>
              <w:autoSpaceDE w:val="0"/>
              <w:autoSpaceDN w:val="0"/>
              <w:spacing w:line="278" w:lineRule="exact"/>
              <w:ind w:leftChars="2" w:left="220" w:hangingChars="107" w:hanging="216"/>
              <w:jc w:val="left"/>
              <w:rPr>
                <w:sz w:val="20"/>
                <w:szCs w:val="20"/>
              </w:rPr>
            </w:pPr>
            <w:r w:rsidRPr="0016018C">
              <w:rPr>
                <w:rFonts w:hint="eastAsia"/>
                <w:sz w:val="20"/>
                <w:szCs w:val="20"/>
              </w:rPr>
              <w:t>●教科書を使用するすべての生徒にとって，読みやすく見やすいユニバーサルフォントを使用し，色彩・明暗などデザインを工夫した図版を提供している。</w:t>
            </w:r>
          </w:p>
        </w:tc>
      </w:tr>
      <w:tr w:rsidR="00FA1E43" w:rsidRPr="00094978" w14:paraId="4CD74E1E" w14:textId="77777777" w:rsidTr="003E664E">
        <w:trPr>
          <w:trHeight w:val="1567"/>
        </w:trPr>
        <w:tc>
          <w:tcPr>
            <w:tcW w:w="2357" w:type="dxa"/>
            <w:tcBorders>
              <w:top w:val="single" w:sz="4" w:space="0" w:color="000000"/>
              <w:left w:val="single" w:sz="4" w:space="0" w:color="000000"/>
              <w:bottom w:val="single" w:sz="4" w:space="0" w:color="000000"/>
              <w:right w:val="single" w:sz="4" w:space="0" w:color="000000"/>
            </w:tcBorders>
            <w:shd w:val="clear" w:color="auto" w:fill="auto"/>
          </w:tcPr>
          <w:p w14:paraId="0AE8FDA2" w14:textId="6F60A255" w:rsidR="00FA1E43" w:rsidRPr="007D587E" w:rsidRDefault="00FA1E43" w:rsidP="00192C7C">
            <w:pPr>
              <w:suppressAutoHyphens/>
              <w:kinsoku w:val="0"/>
              <w:wordWrap w:val="0"/>
              <w:autoSpaceDE w:val="0"/>
              <w:autoSpaceDN w:val="0"/>
              <w:spacing w:line="278" w:lineRule="exact"/>
              <w:jc w:val="left"/>
              <w:rPr>
                <w:sz w:val="20"/>
                <w:szCs w:val="20"/>
              </w:rPr>
            </w:pPr>
            <w:r w:rsidRPr="007D587E">
              <w:rPr>
                <w:rFonts w:hint="eastAsia"/>
                <w:sz w:val="20"/>
                <w:szCs w:val="20"/>
              </w:rPr>
              <w:t>新しい学習指導要領への対応</w:t>
            </w:r>
          </w:p>
        </w:tc>
        <w:tc>
          <w:tcPr>
            <w:tcW w:w="7229" w:type="dxa"/>
            <w:tcBorders>
              <w:top w:val="single" w:sz="4" w:space="0" w:color="000000"/>
              <w:left w:val="single" w:sz="4" w:space="0" w:color="000000"/>
              <w:bottom w:val="single" w:sz="4" w:space="0" w:color="000000"/>
              <w:right w:val="single" w:sz="4" w:space="0" w:color="000000"/>
            </w:tcBorders>
          </w:tcPr>
          <w:p w14:paraId="20B11C54" w14:textId="54A659C2" w:rsidR="00980F20" w:rsidRPr="0016018C" w:rsidRDefault="00980F20" w:rsidP="00835908">
            <w:pPr>
              <w:suppressAutoHyphens/>
              <w:wordWrap w:val="0"/>
              <w:overflowPunct/>
              <w:autoSpaceDE w:val="0"/>
              <w:autoSpaceDN w:val="0"/>
              <w:spacing w:line="278" w:lineRule="exact"/>
              <w:ind w:leftChars="2" w:left="220" w:hangingChars="107" w:hanging="216"/>
              <w:jc w:val="left"/>
              <w:rPr>
                <w:sz w:val="20"/>
                <w:szCs w:val="20"/>
              </w:rPr>
            </w:pPr>
            <w:r w:rsidRPr="0016018C">
              <w:rPr>
                <w:rFonts w:hint="eastAsia"/>
                <w:sz w:val="20"/>
                <w:szCs w:val="20"/>
              </w:rPr>
              <w:t>●新しい学習指導要領の内容に沿って構成や配列に工夫を施している。</w:t>
            </w:r>
          </w:p>
          <w:p w14:paraId="2756ED38" w14:textId="36014A7D" w:rsidR="00FA1E43" w:rsidRPr="0016018C" w:rsidRDefault="00980F20" w:rsidP="00835908">
            <w:pPr>
              <w:suppressAutoHyphens/>
              <w:wordWrap w:val="0"/>
              <w:overflowPunct/>
              <w:autoSpaceDE w:val="0"/>
              <w:autoSpaceDN w:val="0"/>
              <w:spacing w:line="278" w:lineRule="exact"/>
              <w:ind w:leftChars="2" w:left="220" w:hangingChars="107" w:hanging="216"/>
              <w:jc w:val="left"/>
              <w:rPr>
                <w:sz w:val="20"/>
                <w:szCs w:val="20"/>
              </w:rPr>
            </w:pPr>
            <w:r w:rsidRPr="0016018C">
              <w:rPr>
                <w:rFonts w:hint="eastAsia"/>
                <w:sz w:val="20"/>
                <w:szCs w:val="20"/>
              </w:rPr>
              <w:t>●主体的・対話的で深い学びや課題探究学習を想定した学習活動については，本文ページ内に</w:t>
            </w:r>
            <w:r w:rsidR="00094978" w:rsidRPr="0016018C">
              <w:rPr>
                <w:rFonts w:hint="eastAsia"/>
                <w:sz w:val="20"/>
                <w:szCs w:val="20"/>
              </w:rPr>
              <w:t>学習を深める視点として</w:t>
            </w:r>
            <w:r w:rsidRPr="0016018C">
              <w:rPr>
                <w:rFonts w:hint="eastAsia"/>
                <w:sz w:val="20"/>
                <w:szCs w:val="20"/>
              </w:rPr>
              <w:t>「深める！」</w:t>
            </w:r>
            <w:r w:rsidR="00A30094">
              <w:rPr>
                <w:rFonts w:hint="eastAsia"/>
                <w:sz w:val="20"/>
                <w:szCs w:val="20"/>
              </w:rPr>
              <w:t>が</w:t>
            </w:r>
            <w:r w:rsidR="00094978" w:rsidRPr="0016018C">
              <w:rPr>
                <w:rFonts w:hint="eastAsia"/>
                <w:sz w:val="20"/>
                <w:szCs w:val="20"/>
              </w:rPr>
              <w:t>配置</w:t>
            </w:r>
            <w:r w:rsidR="00A30094">
              <w:rPr>
                <w:rFonts w:hint="eastAsia"/>
                <w:sz w:val="20"/>
                <w:szCs w:val="20"/>
              </w:rPr>
              <w:t>され</w:t>
            </w:r>
            <w:r w:rsidR="00094978" w:rsidRPr="0016018C">
              <w:rPr>
                <w:rFonts w:hint="eastAsia"/>
                <w:sz w:val="20"/>
                <w:szCs w:val="20"/>
              </w:rPr>
              <w:t>，</w:t>
            </w:r>
            <w:r w:rsidRPr="0016018C">
              <w:rPr>
                <w:rFonts w:hint="eastAsia"/>
                <w:sz w:val="20"/>
                <w:szCs w:val="20"/>
              </w:rPr>
              <w:t>また，</w:t>
            </w:r>
            <w:r w:rsidR="00835908">
              <w:rPr>
                <w:sz w:val="20"/>
                <w:szCs w:val="20"/>
              </w:rPr>
              <w:br/>
            </w:r>
            <w:r w:rsidRPr="0016018C">
              <w:rPr>
                <w:rFonts w:hint="eastAsia"/>
                <w:sz w:val="20"/>
                <w:szCs w:val="20"/>
              </w:rPr>
              <w:t>Web</w:t>
            </w:r>
            <w:r w:rsidRPr="0016018C">
              <w:rPr>
                <w:rFonts w:hint="eastAsia"/>
                <w:sz w:val="20"/>
                <w:szCs w:val="20"/>
              </w:rPr>
              <w:t>参照資料についても，原典資料や判例，グラフや図版など，主体的な学習に活用できるさまざまな情報を提供している。</w:t>
            </w:r>
          </w:p>
        </w:tc>
      </w:tr>
      <w:tr w:rsidR="00F572F7" w:rsidRPr="00EC561B" w14:paraId="2ADCF954" w14:textId="77777777" w:rsidTr="003E664E">
        <w:trPr>
          <w:trHeight w:val="1249"/>
        </w:trPr>
        <w:tc>
          <w:tcPr>
            <w:tcW w:w="2357" w:type="dxa"/>
            <w:tcBorders>
              <w:top w:val="single" w:sz="4" w:space="0" w:color="000000"/>
              <w:left w:val="single" w:sz="4" w:space="0" w:color="000000"/>
              <w:bottom w:val="single" w:sz="4" w:space="0" w:color="000000"/>
              <w:right w:val="single" w:sz="4" w:space="0" w:color="000000"/>
            </w:tcBorders>
          </w:tcPr>
          <w:p w14:paraId="75F9B1A8" w14:textId="31423FAE" w:rsidR="00045DA1" w:rsidRPr="00EC561B" w:rsidRDefault="00F572F7" w:rsidP="007D587E">
            <w:pPr>
              <w:suppressAutoHyphens/>
              <w:kinsoku w:val="0"/>
              <w:wordWrap w:val="0"/>
              <w:autoSpaceDE w:val="0"/>
              <w:autoSpaceDN w:val="0"/>
              <w:spacing w:line="278" w:lineRule="exact"/>
              <w:jc w:val="left"/>
              <w:rPr>
                <w:rFonts w:ascii="ＭＳ 明朝" w:cs="Times New Roman"/>
                <w:spacing w:val="2"/>
                <w:sz w:val="20"/>
                <w:szCs w:val="20"/>
              </w:rPr>
            </w:pPr>
            <w:r w:rsidRPr="00EC561B">
              <w:rPr>
                <w:rFonts w:hint="eastAsia"/>
                <w:sz w:val="20"/>
                <w:szCs w:val="20"/>
              </w:rPr>
              <w:t>総合的所見</w:t>
            </w:r>
          </w:p>
        </w:tc>
        <w:tc>
          <w:tcPr>
            <w:tcW w:w="7229" w:type="dxa"/>
            <w:tcBorders>
              <w:top w:val="single" w:sz="4" w:space="0" w:color="000000"/>
              <w:left w:val="single" w:sz="4" w:space="0" w:color="000000"/>
              <w:bottom w:val="single" w:sz="4" w:space="0" w:color="000000"/>
              <w:right w:val="single" w:sz="4" w:space="0" w:color="000000"/>
            </w:tcBorders>
          </w:tcPr>
          <w:p w14:paraId="07216E2D" w14:textId="7023C51D" w:rsidR="00F572F7" w:rsidRPr="0016018C" w:rsidRDefault="00045DA1" w:rsidP="00835908">
            <w:pPr>
              <w:suppressAutoHyphens/>
              <w:wordWrap w:val="0"/>
              <w:overflowPunct/>
              <w:autoSpaceDE w:val="0"/>
              <w:autoSpaceDN w:val="0"/>
              <w:spacing w:line="278" w:lineRule="exact"/>
              <w:ind w:leftChars="2" w:left="220" w:hangingChars="107" w:hanging="216"/>
              <w:jc w:val="left"/>
              <w:rPr>
                <w:rFonts w:ascii="ＭＳ 明朝" w:cs="Times New Roman"/>
                <w:spacing w:val="2"/>
                <w:sz w:val="20"/>
                <w:szCs w:val="20"/>
              </w:rPr>
            </w:pPr>
            <w:r w:rsidRPr="0016018C">
              <w:rPr>
                <w:rFonts w:hint="eastAsia"/>
                <w:sz w:val="20"/>
                <w:szCs w:val="20"/>
              </w:rPr>
              <w:t>●</w:t>
            </w:r>
            <w:r w:rsidR="00F572F7" w:rsidRPr="0016018C">
              <w:rPr>
                <w:rFonts w:hint="eastAsia"/>
                <w:sz w:val="20"/>
                <w:szCs w:val="20"/>
              </w:rPr>
              <w:t>基礎的・基本的な内容</w:t>
            </w:r>
            <w:r w:rsidR="00835908">
              <w:rPr>
                <w:rFonts w:hint="eastAsia"/>
                <w:sz w:val="20"/>
                <w:szCs w:val="20"/>
              </w:rPr>
              <w:t>に</w:t>
            </w:r>
            <w:r w:rsidR="00F572F7" w:rsidRPr="0016018C">
              <w:rPr>
                <w:rFonts w:hint="eastAsia"/>
                <w:sz w:val="20"/>
                <w:szCs w:val="20"/>
              </w:rPr>
              <w:t>より高度な視点も付記され，</w:t>
            </w:r>
            <w:r w:rsidR="00835908">
              <w:rPr>
                <w:rFonts w:hint="eastAsia"/>
                <w:sz w:val="20"/>
                <w:szCs w:val="20"/>
              </w:rPr>
              <w:t>根拠となる資料や図版が</w:t>
            </w:r>
            <w:r w:rsidR="00F572F7" w:rsidRPr="0016018C">
              <w:rPr>
                <w:rFonts w:hint="eastAsia"/>
                <w:sz w:val="20"/>
                <w:szCs w:val="20"/>
              </w:rPr>
              <w:t>必要かつ十分に提示され，生徒に課題意識をもたせ，興味・関心を喚起でき，学習課題を深めることができる政治・経済教科書である。</w:t>
            </w:r>
          </w:p>
          <w:p w14:paraId="288C5671" w14:textId="77777777" w:rsidR="00F572F7" w:rsidRPr="0016018C" w:rsidRDefault="00045DA1" w:rsidP="00835908">
            <w:pPr>
              <w:suppressAutoHyphens/>
              <w:wordWrap w:val="0"/>
              <w:overflowPunct/>
              <w:autoSpaceDE w:val="0"/>
              <w:autoSpaceDN w:val="0"/>
              <w:spacing w:line="278" w:lineRule="exact"/>
              <w:ind w:left="202" w:hangingChars="100" w:hanging="202"/>
              <w:jc w:val="left"/>
              <w:rPr>
                <w:rFonts w:ascii="ＭＳ 明朝" w:cs="Times New Roman"/>
                <w:spacing w:val="2"/>
                <w:sz w:val="20"/>
                <w:szCs w:val="20"/>
              </w:rPr>
            </w:pPr>
            <w:r w:rsidRPr="0016018C">
              <w:rPr>
                <w:rFonts w:hint="eastAsia"/>
                <w:sz w:val="20"/>
                <w:szCs w:val="20"/>
              </w:rPr>
              <w:t>●</w:t>
            </w:r>
            <w:r w:rsidR="00F572F7" w:rsidRPr="0016018C">
              <w:rPr>
                <w:rFonts w:hint="eastAsia"/>
                <w:sz w:val="20"/>
                <w:szCs w:val="20"/>
              </w:rPr>
              <w:t>生徒の主体的な課題探究や学習活動にも適した教科書である。</w:t>
            </w:r>
          </w:p>
        </w:tc>
      </w:tr>
      <w:tr w:rsidR="00F572F7" w:rsidRPr="00EC561B" w14:paraId="28720069" w14:textId="77777777" w:rsidTr="00835908">
        <w:trPr>
          <w:trHeight w:val="850"/>
        </w:trPr>
        <w:tc>
          <w:tcPr>
            <w:tcW w:w="2357" w:type="dxa"/>
            <w:tcBorders>
              <w:top w:val="single" w:sz="4" w:space="0" w:color="000000"/>
              <w:left w:val="single" w:sz="4" w:space="0" w:color="000000"/>
              <w:bottom w:val="single" w:sz="4" w:space="0" w:color="000000"/>
              <w:right w:val="single" w:sz="4" w:space="0" w:color="000000"/>
            </w:tcBorders>
          </w:tcPr>
          <w:p w14:paraId="0B54650E" w14:textId="54AE027D" w:rsidR="00F572F7" w:rsidRPr="00EC561B" w:rsidRDefault="00F572F7" w:rsidP="007D587E">
            <w:pPr>
              <w:suppressAutoHyphens/>
              <w:kinsoku w:val="0"/>
              <w:wordWrap w:val="0"/>
              <w:autoSpaceDE w:val="0"/>
              <w:autoSpaceDN w:val="0"/>
              <w:spacing w:line="278" w:lineRule="exact"/>
              <w:jc w:val="left"/>
              <w:rPr>
                <w:rFonts w:ascii="ＭＳ 明朝" w:cs="Times New Roman"/>
                <w:spacing w:val="2"/>
                <w:sz w:val="20"/>
                <w:szCs w:val="20"/>
              </w:rPr>
            </w:pPr>
            <w:r w:rsidRPr="00EC561B">
              <w:rPr>
                <w:rFonts w:hint="eastAsia"/>
                <w:sz w:val="20"/>
                <w:szCs w:val="20"/>
              </w:rPr>
              <w:t>判型・その他</w:t>
            </w:r>
          </w:p>
        </w:tc>
        <w:tc>
          <w:tcPr>
            <w:tcW w:w="7229" w:type="dxa"/>
            <w:tcBorders>
              <w:top w:val="single" w:sz="4" w:space="0" w:color="000000"/>
              <w:left w:val="single" w:sz="4" w:space="0" w:color="000000"/>
              <w:bottom w:val="single" w:sz="4" w:space="0" w:color="000000"/>
              <w:right w:val="single" w:sz="4" w:space="0" w:color="000000"/>
            </w:tcBorders>
          </w:tcPr>
          <w:p w14:paraId="3FB57804" w14:textId="228604C9" w:rsidR="00F572F7" w:rsidRPr="0016018C" w:rsidRDefault="00045DA1" w:rsidP="00835908">
            <w:pPr>
              <w:suppressAutoHyphens/>
              <w:wordWrap w:val="0"/>
              <w:overflowPunct/>
              <w:autoSpaceDE w:val="0"/>
              <w:autoSpaceDN w:val="0"/>
              <w:spacing w:line="278" w:lineRule="exact"/>
              <w:jc w:val="left"/>
              <w:rPr>
                <w:rFonts w:ascii="ＭＳ 明朝" w:cs="Times New Roman"/>
                <w:spacing w:val="2"/>
                <w:sz w:val="20"/>
                <w:szCs w:val="20"/>
              </w:rPr>
            </w:pPr>
            <w:r w:rsidRPr="0016018C">
              <w:rPr>
                <w:rFonts w:hint="eastAsia"/>
                <w:sz w:val="20"/>
                <w:szCs w:val="20"/>
              </w:rPr>
              <w:t>●</w:t>
            </w:r>
            <w:r w:rsidR="00464441" w:rsidRPr="0016018C">
              <w:rPr>
                <w:rFonts w:hint="eastAsia"/>
                <w:sz w:val="20"/>
                <w:szCs w:val="20"/>
              </w:rPr>
              <w:t>A5</w:t>
            </w:r>
            <w:r w:rsidR="00F572F7" w:rsidRPr="0016018C">
              <w:rPr>
                <w:rFonts w:hint="eastAsia"/>
                <w:sz w:val="20"/>
                <w:szCs w:val="20"/>
              </w:rPr>
              <w:t>判・</w:t>
            </w:r>
            <w:r w:rsidR="00464441" w:rsidRPr="0016018C">
              <w:rPr>
                <w:rFonts w:hint="eastAsia"/>
                <w:sz w:val="20"/>
                <w:szCs w:val="20"/>
              </w:rPr>
              <w:t>2</w:t>
            </w:r>
            <w:r w:rsidR="00C05495" w:rsidRPr="0016018C">
              <w:rPr>
                <w:rFonts w:hint="eastAsia"/>
                <w:sz w:val="20"/>
                <w:szCs w:val="20"/>
              </w:rPr>
              <w:t>6</w:t>
            </w:r>
            <w:r w:rsidR="00DC1AFC" w:rsidRPr="0016018C">
              <w:rPr>
                <w:sz w:val="20"/>
                <w:szCs w:val="20"/>
              </w:rPr>
              <w:t>0</w:t>
            </w:r>
            <w:r w:rsidR="00F572F7" w:rsidRPr="0016018C">
              <w:rPr>
                <w:rFonts w:hint="eastAsia"/>
                <w:sz w:val="20"/>
                <w:szCs w:val="20"/>
              </w:rPr>
              <w:t>ページ</w:t>
            </w:r>
            <w:r w:rsidR="00C05495" w:rsidRPr="0016018C">
              <w:rPr>
                <w:rFonts w:hint="eastAsia"/>
                <w:sz w:val="20"/>
                <w:szCs w:val="20"/>
              </w:rPr>
              <w:t>（表紙・見返しを除く）</w:t>
            </w:r>
          </w:p>
          <w:p w14:paraId="771CD706" w14:textId="49EF6726" w:rsidR="00F572F7" w:rsidRPr="0016018C" w:rsidRDefault="00045DA1" w:rsidP="00835908">
            <w:pPr>
              <w:suppressAutoHyphens/>
              <w:wordWrap w:val="0"/>
              <w:overflowPunct/>
              <w:autoSpaceDE w:val="0"/>
              <w:autoSpaceDN w:val="0"/>
              <w:spacing w:line="278" w:lineRule="exact"/>
              <w:jc w:val="left"/>
              <w:rPr>
                <w:rFonts w:ascii="ＭＳ 明朝" w:cs="Times New Roman"/>
                <w:spacing w:val="2"/>
                <w:sz w:val="20"/>
                <w:szCs w:val="20"/>
              </w:rPr>
            </w:pPr>
            <w:r w:rsidRPr="0016018C">
              <w:rPr>
                <w:rFonts w:hint="eastAsia"/>
                <w:sz w:val="20"/>
                <w:szCs w:val="20"/>
              </w:rPr>
              <w:t>●</w:t>
            </w:r>
            <w:r w:rsidR="00F572F7" w:rsidRPr="0016018C">
              <w:rPr>
                <w:rFonts w:hint="eastAsia"/>
                <w:sz w:val="20"/>
                <w:szCs w:val="20"/>
              </w:rPr>
              <w:t>写真や図版の枚数：約</w:t>
            </w:r>
            <w:r w:rsidR="00464441" w:rsidRPr="0016018C">
              <w:rPr>
                <w:rFonts w:hint="eastAsia"/>
                <w:sz w:val="20"/>
                <w:szCs w:val="20"/>
              </w:rPr>
              <w:t>270</w:t>
            </w:r>
            <w:r w:rsidR="00835908">
              <w:rPr>
                <w:rFonts w:hint="eastAsia"/>
                <w:sz w:val="20"/>
                <w:szCs w:val="20"/>
              </w:rPr>
              <w:t xml:space="preserve">　／　</w:t>
            </w:r>
            <w:r w:rsidRPr="0016018C">
              <w:rPr>
                <w:rFonts w:hint="eastAsia"/>
                <w:sz w:val="20"/>
                <w:szCs w:val="20"/>
              </w:rPr>
              <w:t>●</w:t>
            </w:r>
            <w:r w:rsidR="00464441" w:rsidRPr="0016018C">
              <w:rPr>
                <w:rFonts w:hint="eastAsia"/>
                <w:sz w:val="20"/>
                <w:szCs w:val="20"/>
              </w:rPr>
              <w:t>さくいん</w:t>
            </w:r>
            <w:r w:rsidR="00F572F7" w:rsidRPr="0016018C">
              <w:rPr>
                <w:rFonts w:hint="eastAsia"/>
                <w:sz w:val="20"/>
                <w:szCs w:val="20"/>
              </w:rPr>
              <w:t>数：約</w:t>
            </w:r>
            <w:r w:rsidR="00464441" w:rsidRPr="0016018C">
              <w:rPr>
                <w:rFonts w:hint="eastAsia"/>
                <w:sz w:val="20"/>
                <w:szCs w:val="20"/>
              </w:rPr>
              <w:t>1500</w:t>
            </w:r>
            <w:r w:rsidR="00F572F7" w:rsidRPr="0016018C">
              <w:rPr>
                <w:rFonts w:hint="eastAsia"/>
                <w:sz w:val="20"/>
                <w:szCs w:val="20"/>
              </w:rPr>
              <w:t>項目</w:t>
            </w:r>
          </w:p>
        </w:tc>
      </w:tr>
    </w:tbl>
    <w:p w14:paraId="3886801B" w14:textId="77777777" w:rsidR="00FC5FE8" w:rsidRPr="007D587E" w:rsidRDefault="00FC5FE8" w:rsidP="0016018C">
      <w:pPr>
        <w:adjustRightInd/>
        <w:spacing w:line="278" w:lineRule="exact"/>
        <w:rPr>
          <w:sz w:val="20"/>
          <w:szCs w:val="20"/>
        </w:rPr>
      </w:pPr>
    </w:p>
    <w:sectPr w:rsidR="00FC5FE8" w:rsidRPr="007D587E" w:rsidSect="00835908">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134" w:left="1134" w:header="851" w:footer="720" w:gutter="0"/>
      <w:pgNumType w:start="1"/>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F1C7A" w14:textId="77777777" w:rsidR="009D11C3" w:rsidRDefault="009D11C3">
      <w:r>
        <w:separator/>
      </w:r>
    </w:p>
  </w:endnote>
  <w:endnote w:type="continuationSeparator" w:id="0">
    <w:p w14:paraId="24C7DFA7" w14:textId="77777777" w:rsidR="009D11C3" w:rsidRDefault="009D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DCD1" w14:textId="77777777" w:rsidR="00431657" w:rsidRDefault="0043165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C8BE0" w14:textId="77777777" w:rsidR="00431657" w:rsidRDefault="0043165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E575" w14:textId="77777777" w:rsidR="00431657" w:rsidRDefault="0043165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7FDCA" w14:textId="77777777" w:rsidR="009D11C3" w:rsidRDefault="009D11C3">
      <w:r>
        <w:rPr>
          <w:rFonts w:ascii="ＭＳ 明朝" w:cs="Times New Roman"/>
          <w:sz w:val="2"/>
          <w:szCs w:val="2"/>
        </w:rPr>
        <w:continuationSeparator/>
      </w:r>
    </w:p>
  </w:footnote>
  <w:footnote w:type="continuationSeparator" w:id="0">
    <w:p w14:paraId="199F38F2" w14:textId="77777777" w:rsidR="009D11C3" w:rsidRDefault="009D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9B80" w14:textId="77777777" w:rsidR="00431657" w:rsidRDefault="0043165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18A6" w14:textId="4D2C448E" w:rsidR="00EC561B" w:rsidRPr="00EC561B" w:rsidRDefault="009A2984" w:rsidP="00EC561B">
    <w:pPr>
      <w:adjustRightInd/>
      <w:spacing w:line="278" w:lineRule="exact"/>
      <w:jc w:val="center"/>
    </w:pPr>
    <w:r>
      <w:rPr>
        <w:rFonts w:ascii="ＭＳ ゴシック" w:eastAsia="ＭＳ ゴシック" w:hAnsi="ＭＳ ゴシック" w:hint="eastAsia"/>
        <w:b/>
        <w:sz w:val="24"/>
        <w:szCs w:val="24"/>
      </w:rPr>
      <w:t>検討の観点</w:t>
    </w:r>
    <w:r w:rsidR="00EC561B">
      <w:rPr>
        <w:rFonts w:ascii="ＭＳ 明朝" w:hAnsi="ＭＳ 明朝" w:hint="eastAsia"/>
      </w:rPr>
      <w:t>（高等学校公民科　35清水　政経</w:t>
    </w:r>
    <w:r w:rsidR="00431657" w:rsidRPr="009D11C3">
      <w:rPr>
        <w:rFonts w:ascii="ＭＳ 明朝" w:hAnsi="ＭＳ 明朝" w:hint="eastAsia"/>
        <w:color w:val="000000"/>
      </w:rPr>
      <w:t>704</w:t>
    </w:r>
    <w:r w:rsidR="00EC561B">
      <w:rPr>
        <w:rFonts w:ascii="ＭＳ 明朝" w:hAnsi="ＭＳ 明朝" w:hint="eastAsia"/>
      </w:rPr>
      <w:t xml:space="preserve">　高等学校 政治・経済）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D26F" w14:textId="77777777" w:rsidR="00431657" w:rsidRDefault="004316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611DF"/>
    <w:multiLevelType w:val="hybridMultilevel"/>
    <w:tmpl w:val="8CF61DA0"/>
    <w:lvl w:ilvl="0" w:tplc="B61CE8F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16cid:durableId="1461075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6"/>
  <w:drawingGridVerticalSpacing w:val="143"/>
  <w:displayHorizontalDrawingGridEvery w:val="0"/>
  <w:displayVerticalDrawingGridEvery w:val="2"/>
  <w:doNotShadeFormData/>
  <w:characterSpacingControl w:val="compressPunctuation"/>
  <w:noLineBreaksAfter w:lang="ja-JP" w:val="([{〈《「『【〔（［｛｢"/>
  <w:noLineBreaksBefore w:lang="ja-JP" w:val="!),.?]}、。〉》」』】〕！），．？］｝｡｣､ﾞﾟ"/>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4E20"/>
    <w:rsid w:val="0003756D"/>
    <w:rsid w:val="00045DA1"/>
    <w:rsid w:val="00094978"/>
    <w:rsid w:val="000F20C0"/>
    <w:rsid w:val="00135ED6"/>
    <w:rsid w:val="0014014A"/>
    <w:rsid w:val="001554E1"/>
    <w:rsid w:val="0016018C"/>
    <w:rsid w:val="00162F68"/>
    <w:rsid w:val="00192C7C"/>
    <w:rsid w:val="001B0A37"/>
    <w:rsid w:val="001D6DC4"/>
    <w:rsid w:val="001E6BBC"/>
    <w:rsid w:val="002114E0"/>
    <w:rsid w:val="00230517"/>
    <w:rsid w:val="002864D7"/>
    <w:rsid w:val="002C30E3"/>
    <w:rsid w:val="002D7919"/>
    <w:rsid w:val="002F3E9E"/>
    <w:rsid w:val="003D5D01"/>
    <w:rsid w:val="003E664E"/>
    <w:rsid w:val="00431657"/>
    <w:rsid w:val="004558D1"/>
    <w:rsid w:val="00464441"/>
    <w:rsid w:val="004C7C0D"/>
    <w:rsid w:val="00593043"/>
    <w:rsid w:val="005B08EA"/>
    <w:rsid w:val="0065133D"/>
    <w:rsid w:val="006572D2"/>
    <w:rsid w:val="006A6254"/>
    <w:rsid w:val="00791910"/>
    <w:rsid w:val="007B4E20"/>
    <w:rsid w:val="007D587E"/>
    <w:rsid w:val="007E3C93"/>
    <w:rsid w:val="00835908"/>
    <w:rsid w:val="00860258"/>
    <w:rsid w:val="00873B0A"/>
    <w:rsid w:val="00980F20"/>
    <w:rsid w:val="009A2984"/>
    <w:rsid w:val="009A337D"/>
    <w:rsid w:val="009D11C3"/>
    <w:rsid w:val="009F3957"/>
    <w:rsid w:val="00A30094"/>
    <w:rsid w:val="00A45F3E"/>
    <w:rsid w:val="00A717D0"/>
    <w:rsid w:val="00A91A19"/>
    <w:rsid w:val="00AB08A3"/>
    <w:rsid w:val="00B13780"/>
    <w:rsid w:val="00B41F8E"/>
    <w:rsid w:val="00B96163"/>
    <w:rsid w:val="00BC5443"/>
    <w:rsid w:val="00C05495"/>
    <w:rsid w:val="00C07759"/>
    <w:rsid w:val="00C24E61"/>
    <w:rsid w:val="00C34C04"/>
    <w:rsid w:val="00C440A8"/>
    <w:rsid w:val="00CD62F0"/>
    <w:rsid w:val="00DA4C48"/>
    <w:rsid w:val="00DA5DD5"/>
    <w:rsid w:val="00DB6172"/>
    <w:rsid w:val="00DC1AFC"/>
    <w:rsid w:val="00E033A6"/>
    <w:rsid w:val="00E078FE"/>
    <w:rsid w:val="00EC561B"/>
    <w:rsid w:val="00F572F7"/>
    <w:rsid w:val="00FA1E43"/>
    <w:rsid w:val="00FC5FE8"/>
    <w:rsid w:val="00FD6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32EB422"/>
  <w15:docId w15:val="{43CDD2D0-8195-43B6-8DAB-4DF2588C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DC4"/>
    <w:pPr>
      <w:tabs>
        <w:tab w:val="center" w:pos="4252"/>
        <w:tab w:val="right" w:pos="8504"/>
      </w:tabs>
      <w:snapToGrid w:val="0"/>
    </w:pPr>
    <w:rPr>
      <w:rFonts w:cs="Times New Roman"/>
      <w:lang w:val="x-none" w:eastAsia="x-none"/>
    </w:rPr>
  </w:style>
  <w:style w:type="character" w:customStyle="1" w:styleId="a4">
    <w:name w:val="ヘッダー (文字)"/>
    <w:link w:val="a3"/>
    <w:uiPriority w:val="99"/>
    <w:rsid w:val="001D6DC4"/>
    <w:rPr>
      <w:rFonts w:cs="ＭＳ 明朝"/>
      <w:sz w:val="21"/>
      <w:szCs w:val="21"/>
    </w:rPr>
  </w:style>
  <w:style w:type="paragraph" w:styleId="a5">
    <w:name w:val="footer"/>
    <w:basedOn w:val="a"/>
    <w:link w:val="a6"/>
    <w:uiPriority w:val="99"/>
    <w:unhideWhenUsed/>
    <w:rsid w:val="001D6DC4"/>
    <w:pPr>
      <w:tabs>
        <w:tab w:val="center" w:pos="4252"/>
        <w:tab w:val="right" w:pos="8504"/>
      </w:tabs>
      <w:snapToGrid w:val="0"/>
    </w:pPr>
    <w:rPr>
      <w:rFonts w:cs="Times New Roman"/>
      <w:lang w:val="x-none" w:eastAsia="x-none"/>
    </w:rPr>
  </w:style>
  <w:style w:type="character" w:customStyle="1" w:styleId="a6">
    <w:name w:val="フッター (文字)"/>
    <w:link w:val="a5"/>
    <w:uiPriority w:val="99"/>
    <w:rsid w:val="001D6DC4"/>
    <w:rPr>
      <w:rFonts w:cs="ＭＳ 明朝"/>
      <w:sz w:val="21"/>
      <w:szCs w:val="21"/>
    </w:rPr>
  </w:style>
  <w:style w:type="paragraph" w:styleId="a7">
    <w:name w:val="Balloon Text"/>
    <w:basedOn w:val="a"/>
    <w:link w:val="a8"/>
    <w:uiPriority w:val="99"/>
    <w:semiHidden/>
    <w:unhideWhenUsed/>
    <w:rsid w:val="00C440A8"/>
    <w:rPr>
      <w:rFonts w:ascii="Arial" w:eastAsia="ＭＳ ゴシック" w:hAnsi="Arial" w:cs="Times New Roman"/>
      <w:sz w:val="18"/>
      <w:szCs w:val="18"/>
      <w:lang w:val="x-none" w:eastAsia="x-none"/>
    </w:rPr>
  </w:style>
  <w:style w:type="character" w:customStyle="1" w:styleId="a8">
    <w:name w:val="吹き出し (文字)"/>
    <w:link w:val="a7"/>
    <w:uiPriority w:val="99"/>
    <w:semiHidden/>
    <w:rsid w:val="00C440A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443282">
      <w:bodyDiv w:val="1"/>
      <w:marLeft w:val="0"/>
      <w:marRight w:val="0"/>
      <w:marTop w:val="0"/>
      <w:marBottom w:val="0"/>
      <w:divBdr>
        <w:top w:val="none" w:sz="0" w:space="0" w:color="auto"/>
        <w:left w:val="none" w:sz="0" w:space="0" w:color="auto"/>
        <w:bottom w:val="none" w:sz="0" w:space="0" w:color="auto"/>
        <w:right w:val="none" w:sz="0" w:space="0" w:color="auto"/>
      </w:divBdr>
    </w:div>
    <w:div w:id="147471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58C21-B7EC-4901-BC09-436006B8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203</Words>
  <Characters>1161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株式会社　清水書院</Company>
  <LinksUpToDate>false</LinksUpToDate>
  <CharactersWithSpaces>1362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Shimizu Shoin co.,Ltd</dc:creator>
  <cp:lastModifiedBy>右寺 恒在</cp:lastModifiedBy>
  <cp:revision>19</cp:revision>
  <cp:lastPrinted>2022-03-01T00:37:00Z</cp:lastPrinted>
  <dcterms:created xsi:type="dcterms:W3CDTF">2017-04-18T06:30:00Z</dcterms:created>
  <dcterms:modified xsi:type="dcterms:W3CDTF">2022-04-20T02:09:00Z</dcterms:modified>
</cp:coreProperties>
</file>